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76F62AE0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>The Honorable</w:t>
      </w:r>
      <w:r w:rsidR="00223C53">
        <w:rPr>
          <w:rFonts w:eastAsia="Times New Roman" w:cstheme="minorHAnsi"/>
          <w:kern w:val="0"/>
          <w14:ligatures w14:val="none"/>
        </w:rPr>
        <w:t xml:space="preserve"> </w:t>
      </w:r>
      <w:r w:rsidR="001F0A78">
        <w:rPr>
          <w:rFonts w:eastAsia="Times New Roman" w:cstheme="minorHAnsi"/>
          <w:kern w:val="0"/>
          <w14:ligatures w14:val="none"/>
        </w:rPr>
        <w:t>Bill Huizenga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1F0A78">
        <w:rPr>
          <w:rFonts w:eastAsia="Times New Roman" w:cstheme="minorHAnsi"/>
          <w:kern w:val="0"/>
          <w14:ligatures w14:val="none"/>
        </w:rPr>
        <w:t>170 College Ave., Suite 160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United State </w:t>
      </w:r>
      <w:r w:rsidR="00ED2C01">
        <w:rPr>
          <w:rFonts w:eastAsia="Times New Roman" w:cstheme="minorHAnsi"/>
          <w:kern w:val="0"/>
          <w14:ligatures w14:val="none"/>
        </w:rPr>
        <w:t>House of Representatives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1F0A78">
        <w:rPr>
          <w:rFonts w:eastAsia="Times New Roman" w:cstheme="minorHAnsi"/>
          <w:kern w:val="0"/>
          <w14:ligatures w14:val="none"/>
        </w:rPr>
        <w:t>Holland, MI 49423</w:t>
      </w:r>
    </w:p>
    <w:p w14:paraId="4F46C79F" w14:textId="4908D47D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ED2C01">
        <w:rPr>
          <w:rFonts w:eastAsia="Times New Roman" w:cstheme="minorHAnsi"/>
          <w:kern w:val="0"/>
          <w14:ligatures w14:val="none"/>
        </w:rPr>
        <w:t xml:space="preserve">Representative </w:t>
      </w:r>
      <w:r w:rsidR="001F0A78">
        <w:rPr>
          <w:rFonts w:eastAsia="Times New Roman" w:cstheme="minorHAnsi"/>
          <w:kern w:val="0"/>
          <w14:ligatures w14:val="none"/>
        </w:rPr>
        <w:t>Huizenga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feed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F42B4"/>
    <w:rsid w:val="00183367"/>
    <w:rsid w:val="001F0A78"/>
    <w:rsid w:val="00223C53"/>
    <w:rsid w:val="00313361"/>
    <w:rsid w:val="00331080"/>
    <w:rsid w:val="00477924"/>
    <w:rsid w:val="0049427D"/>
    <w:rsid w:val="005B3699"/>
    <w:rsid w:val="0063070D"/>
    <w:rsid w:val="00761EA2"/>
    <w:rsid w:val="008041CB"/>
    <w:rsid w:val="008E183D"/>
    <w:rsid w:val="00961887"/>
    <w:rsid w:val="00A31A16"/>
    <w:rsid w:val="00A758D6"/>
    <w:rsid w:val="00BC5334"/>
    <w:rsid w:val="00CC047D"/>
    <w:rsid w:val="00CC148C"/>
    <w:rsid w:val="00CF4EE2"/>
    <w:rsid w:val="00D90EFF"/>
    <w:rsid w:val="00DB45A1"/>
    <w:rsid w:val="00E322A1"/>
    <w:rsid w:val="00E665ED"/>
    <w:rsid w:val="00ED2C01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3</cp:revision>
  <dcterms:created xsi:type="dcterms:W3CDTF">2023-06-01T15:31:00Z</dcterms:created>
  <dcterms:modified xsi:type="dcterms:W3CDTF">2023-06-01T15:32:00Z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